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俄罗斯对射开关新闻稿</w:t>
      </w:r>
    </w:p>
    <w:p>
      <w:pPr>
        <w:jc w:val="center"/>
        <w:rPr>
          <w:rFonts w:hint="eastAsia"/>
          <w:b/>
          <w:bCs/>
          <w:sz w:val="32"/>
          <w:szCs w:val="40"/>
          <w:lang w:val="en-US" w:eastAsia="zh-CN"/>
        </w:rPr>
      </w:pPr>
      <w:r>
        <w:rPr>
          <w:rFonts w:hint="eastAsia"/>
          <w:b/>
          <w:bCs/>
          <w:sz w:val="32"/>
          <w:szCs w:val="40"/>
          <w:lang w:val="en-US" w:eastAsia="zh-CN"/>
        </w:rPr>
        <w:t>（添加视频）</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在工业安全生产中，筒仓、储罐内的散装物料物位监测是必不可少的重要环节。是保证安全生产的重要前提，也是杜绝由筒仓“冒顶”而带来的重大隐患。即保证了作业工人的人身安全，也可为企业避免掉成本方面的支出及生产效率的提高。在未使用物位计时，作业工人只能根据筒仓、储罐的体积和输送设备的流量用时间来判断料位高低，小体积的储罐则是用探针测量料位。这种探测料位的方式费时费力，对企业来说，无疑增</w:t>
      </w:r>
      <w:bookmarkStart w:id="0" w:name="_GoBack"/>
      <w:bookmarkEnd w:id="0"/>
      <w:r>
        <w:rPr>
          <w:rFonts w:hint="eastAsia"/>
          <w:b w:val="0"/>
          <w:bCs w:val="0"/>
          <w:sz w:val="21"/>
          <w:szCs w:val="24"/>
          <w:lang w:val="en-US" w:eastAsia="zh-CN"/>
        </w:rPr>
        <w:t>加人力成本方面的支出，同时也降低了生产效率。现代工业正在步入自动化发展时代，物位计的使用可以代替人工，实时监测筒仓料位水平，多方连控，精准的做到了介质可视化、过程自动化。</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现市面上的物位计多种多样，阻旋料位计、导波雷达料位计、重锤物位计、膜片、振棒、音叉等，可根据介质和工况的不同选取适合企业自身的料位计。介可视最新推出的一款料位开关是采用微波原理，非接触式测量，适合大部分散装固体行业的物位监测。基于微波原理，不需要和介质本身直接接触这对于食品行业和较高温度介质的行业尤其有利。迄今为止，与市场同类的阻旋物位计振棒物位开关相比，微波传感器发射端和接收端探头采用陶瓷材质，光滑清洁的表面对及易粘附的介质不敏感，且具有较强的穿透性，不会因为粉尘干扰而影响设备本身测量。耐磨、耐腐蚀、抗震、耐高温、抗射频和线路的干扰等都是保证了介可视微波检堵开关的可靠性。</w:t>
      </w:r>
    </w:p>
    <w:p>
      <w:pPr>
        <w:ind w:firstLine="420" w:firstLineChars="200"/>
        <w:jc w:val="left"/>
        <w:rPr>
          <w:rFonts w:hint="eastAsia"/>
          <w:b w:val="0"/>
          <w:bCs w:val="0"/>
          <w:sz w:val="21"/>
          <w:szCs w:val="24"/>
          <w:lang w:val="en-US" w:eastAsia="zh-CN"/>
        </w:rPr>
      </w:pPr>
    </w:p>
    <w:p>
      <w:pPr>
        <w:ind w:firstLine="420" w:firstLineChars="200"/>
        <w:jc w:val="center"/>
        <w:rPr>
          <w:rFonts w:hint="eastAsia"/>
          <w:b w:val="0"/>
          <w:bCs w:val="0"/>
          <w:sz w:val="21"/>
          <w:szCs w:val="24"/>
          <w:lang w:val="en-US" w:eastAsia="zh-CN"/>
        </w:rPr>
      </w:pPr>
      <w:r>
        <w:rPr>
          <w:rFonts w:hint="eastAsia"/>
          <w:b w:val="0"/>
          <w:bCs w:val="0"/>
          <w:sz w:val="21"/>
          <w:szCs w:val="24"/>
          <w:lang w:val="en-US" w:eastAsia="zh-CN"/>
        </w:rPr>
        <w:drawing>
          <wp:inline distT="0" distB="0" distL="114300" distR="114300">
            <wp:extent cx="3895090" cy="2191385"/>
            <wp:effectExtent l="0" t="0" r="10160" b="18415"/>
            <wp:docPr id="1" name="图片 1" descr="a12372564012f76808e9a70ddf7b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2372564012f76808e9a70ddf7beaa"/>
                    <pic:cNvPicPr>
                      <a:picLocks noChangeAspect="1"/>
                    </pic:cNvPicPr>
                  </pic:nvPicPr>
                  <pic:blipFill>
                    <a:blip r:embed="rId6"/>
                    <a:stretch>
                      <a:fillRect/>
                    </a:stretch>
                  </pic:blipFill>
                  <pic:spPr>
                    <a:xfrm>
                      <a:off x="0" y="0"/>
                      <a:ext cx="3895090" cy="2191385"/>
                    </a:xfrm>
                    <a:prstGeom prst="rect">
                      <a:avLst/>
                    </a:prstGeom>
                  </pic:spPr>
                </pic:pic>
              </a:graphicData>
            </a:graphic>
          </wp:inline>
        </w:drawing>
      </w:r>
    </w:p>
    <w:p>
      <w:pPr>
        <w:ind w:firstLine="420" w:firstLineChars="200"/>
        <w:jc w:val="center"/>
        <w:rPr>
          <w:rFonts w:hint="eastAsia"/>
          <w:b w:val="0"/>
          <w:bCs w:val="0"/>
          <w:sz w:val="21"/>
          <w:szCs w:val="24"/>
          <w:lang w:val="en-US" w:eastAsia="zh-CN"/>
        </w:rPr>
      </w:pPr>
      <w:r>
        <w:rPr>
          <w:rFonts w:hint="eastAsia"/>
          <w:b w:val="0"/>
          <w:bCs w:val="0"/>
          <w:sz w:val="21"/>
          <w:szCs w:val="24"/>
          <w:lang w:val="en-US" w:eastAsia="zh-CN"/>
        </w:rPr>
        <w:t>图1：JIEKES微波物位计</w:t>
      </w:r>
    </w:p>
    <w:p>
      <w:pPr>
        <w:ind w:firstLine="420" w:firstLineChars="200"/>
        <w:jc w:val="center"/>
        <w:rPr>
          <w:rFonts w:hint="default"/>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介可视微波物位开关源自俄罗斯原装进口产品，该系统是由发射单元（TR）和接收单元（RC）组成。发射单元通过发送高频无线电波再由接收单元将接收到的高频电波转换为可供现场识别的开关量信息信号从而完成一系列的料位监测。</w:t>
      </w:r>
    </w:p>
    <w:p>
      <w:pPr>
        <w:ind w:firstLine="420" w:firstLineChars="200"/>
        <w:jc w:val="center"/>
        <w:rPr>
          <w:rFonts w:hint="eastAsia"/>
          <w:b w:val="0"/>
          <w:bCs w:val="0"/>
          <w:sz w:val="21"/>
          <w:szCs w:val="24"/>
          <w:lang w:val="en-US" w:eastAsia="zh-CN"/>
        </w:rPr>
      </w:pPr>
      <w:r>
        <w:rPr>
          <w:rFonts w:hint="eastAsia"/>
          <w:b w:val="0"/>
          <w:bCs w:val="0"/>
          <w:sz w:val="21"/>
          <w:szCs w:val="24"/>
          <w:lang w:val="en-US" w:eastAsia="zh-CN"/>
        </w:rPr>
        <w:drawing>
          <wp:inline distT="0" distB="0" distL="114300" distR="114300">
            <wp:extent cx="3580130" cy="2733040"/>
            <wp:effectExtent l="0" t="0" r="1270" b="10160"/>
            <wp:docPr id="2" name="图片 2" descr="d0f728c5d54d5ae6884cdba4883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f728c5d54d5ae6884cdba48835617"/>
                    <pic:cNvPicPr>
                      <a:picLocks noChangeAspect="1"/>
                    </pic:cNvPicPr>
                  </pic:nvPicPr>
                  <pic:blipFill>
                    <a:blip r:embed="rId7"/>
                    <a:stretch>
                      <a:fillRect/>
                    </a:stretch>
                  </pic:blipFill>
                  <pic:spPr>
                    <a:xfrm>
                      <a:off x="0" y="0"/>
                      <a:ext cx="3580130" cy="2733040"/>
                    </a:xfrm>
                    <a:prstGeom prst="rect">
                      <a:avLst/>
                    </a:prstGeom>
                  </pic:spPr>
                </pic:pic>
              </a:graphicData>
            </a:graphic>
          </wp:inline>
        </w:drawing>
      </w:r>
    </w:p>
    <w:p>
      <w:pPr>
        <w:ind w:firstLine="420" w:firstLineChars="200"/>
        <w:jc w:val="center"/>
        <w:rPr>
          <w:rFonts w:hint="eastAsia"/>
          <w:b w:val="0"/>
          <w:bCs w:val="0"/>
          <w:sz w:val="21"/>
          <w:szCs w:val="24"/>
          <w:lang w:val="en-US" w:eastAsia="zh-CN"/>
        </w:rPr>
      </w:pPr>
      <w:r>
        <w:rPr>
          <w:rFonts w:hint="eastAsia"/>
          <w:b w:val="0"/>
          <w:bCs w:val="0"/>
          <w:sz w:val="21"/>
          <w:szCs w:val="24"/>
          <w:lang w:val="en-US" w:eastAsia="zh-CN"/>
        </w:rPr>
        <w:t>图2：水平安装</w:t>
      </w:r>
    </w:p>
    <w:p>
      <w:pPr>
        <w:ind w:firstLine="420" w:firstLineChars="200"/>
        <w:jc w:val="center"/>
        <w:rPr>
          <w:rFonts w:hint="eastAsia"/>
          <w:b w:val="0"/>
          <w:bCs w:val="0"/>
          <w:sz w:val="21"/>
          <w:szCs w:val="24"/>
          <w:lang w:val="en-US" w:eastAsia="zh-CN"/>
        </w:rPr>
      </w:pPr>
      <w:r>
        <w:rPr>
          <w:rFonts w:hint="eastAsia"/>
          <w:b w:val="0"/>
          <w:bCs w:val="0"/>
          <w:sz w:val="21"/>
          <w:szCs w:val="24"/>
          <w:lang w:val="en-US" w:eastAsia="zh-CN"/>
        </w:rPr>
        <w:drawing>
          <wp:inline distT="0" distB="0" distL="114300" distR="114300">
            <wp:extent cx="3197225" cy="3371215"/>
            <wp:effectExtent l="0" t="0" r="3175" b="635"/>
            <wp:docPr id="3" name="图片 3" descr="5757cb6fefcaa25557fd38d1dd16b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57cb6fefcaa25557fd38d1dd16bc8"/>
                    <pic:cNvPicPr>
                      <a:picLocks noChangeAspect="1"/>
                    </pic:cNvPicPr>
                  </pic:nvPicPr>
                  <pic:blipFill>
                    <a:blip r:embed="rId8"/>
                    <a:stretch>
                      <a:fillRect/>
                    </a:stretch>
                  </pic:blipFill>
                  <pic:spPr>
                    <a:xfrm>
                      <a:off x="0" y="0"/>
                      <a:ext cx="3197225" cy="3371215"/>
                    </a:xfrm>
                    <a:prstGeom prst="rect">
                      <a:avLst/>
                    </a:prstGeom>
                  </pic:spPr>
                </pic:pic>
              </a:graphicData>
            </a:graphic>
          </wp:inline>
        </w:drawing>
      </w:r>
    </w:p>
    <w:p>
      <w:pPr>
        <w:ind w:firstLine="420" w:firstLineChars="200"/>
        <w:jc w:val="center"/>
        <w:rPr>
          <w:rFonts w:hint="default"/>
          <w:b w:val="0"/>
          <w:bCs w:val="0"/>
          <w:sz w:val="21"/>
          <w:szCs w:val="24"/>
          <w:lang w:val="en-US" w:eastAsia="zh-CN"/>
        </w:rPr>
      </w:pPr>
      <w:r>
        <w:rPr>
          <w:rFonts w:hint="eastAsia"/>
          <w:b w:val="0"/>
          <w:bCs w:val="0"/>
          <w:sz w:val="21"/>
          <w:szCs w:val="24"/>
          <w:lang w:val="en-US" w:eastAsia="zh-CN"/>
        </w:rPr>
        <w:t>图3：垂直安装</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微波料位开关安装在筒仓或储罐中控制物料水平的标准是根据从发射端TR到接收端RC的路径吸收电磁波信号的程度。在这种情况下，通常装满散装物料的筒仓与空料仓相比，TR至RC的传输强度至少弱3-5倍。现场应用中，当电磁波信号穿过水泥层、矿石、砂砾、碎石等这种厚度为30-50cm物料时，其衰减至少达到10倍及以上。</w:t>
      </w:r>
    </w:p>
    <w:p>
      <w:pPr>
        <w:ind w:firstLine="420" w:firstLineChars="200"/>
        <w:jc w:val="left"/>
        <w:rPr>
          <w:rFonts w:hint="eastAsia"/>
          <w:b w:val="0"/>
          <w:bCs w:val="0"/>
          <w:sz w:val="21"/>
          <w:szCs w:val="24"/>
          <w:lang w:val="en-US" w:eastAsia="zh-CN"/>
        </w:rPr>
      </w:pPr>
    </w:p>
    <w:p>
      <w:pPr>
        <w:jc w:val="left"/>
        <w:rPr>
          <w:rFonts w:hint="eastAsia"/>
          <w:b/>
          <w:bCs/>
          <w:sz w:val="21"/>
          <w:szCs w:val="24"/>
          <w:lang w:val="en-US" w:eastAsia="zh-CN"/>
        </w:rPr>
      </w:pPr>
      <w:r>
        <w:rPr>
          <w:rFonts w:hint="eastAsia"/>
          <w:b/>
          <w:bCs/>
          <w:sz w:val="21"/>
          <w:szCs w:val="24"/>
          <w:lang w:val="en-US" w:eastAsia="zh-CN"/>
        </w:rPr>
        <w:t>技术参数：</w:t>
      </w:r>
    </w:p>
    <w:p>
      <w:pPr>
        <w:jc w:val="left"/>
        <w:rPr>
          <w:rFonts w:hint="eastAsia"/>
          <w:b w:val="0"/>
          <w:bCs w:val="0"/>
          <w:sz w:val="21"/>
          <w:szCs w:val="24"/>
          <w:lang w:val="en-US" w:eastAsia="zh-CN"/>
        </w:rPr>
      </w:pPr>
      <w:r>
        <w:rPr>
          <w:rFonts w:hint="eastAsia"/>
          <w:b w:val="0"/>
          <w:bCs w:val="0"/>
          <w:sz w:val="21"/>
          <w:szCs w:val="24"/>
          <w:lang w:val="en-US" w:eastAsia="zh-CN"/>
        </w:rPr>
        <w:t>安装距离：TR至RC之间最大距离16m</w:t>
      </w:r>
    </w:p>
    <w:p>
      <w:pPr>
        <w:jc w:val="left"/>
        <w:rPr>
          <w:rFonts w:hint="eastAsia"/>
          <w:b w:val="0"/>
          <w:bCs w:val="0"/>
          <w:sz w:val="21"/>
          <w:szCs w:val="24"/>
          <w:lang w:val="en-US" w:eastAsia="zh-CN"/>
        </w:rPr>
      </w:pPr>
      <w:r>
        <w:rPr>
          <w:rFonts w:hint="eastAsia"/>
          <w:b w:val="0"/>
          <w:bCs w:val="0"/>
          <w:sz w:val="21"/>
          <w:szCs w:val="24"/>
          <w:lang w:val="en-US" w:eastAsia="zh-CN"/>
        </w:rPr>
        <w:t>工作温度：-25℃...+85℃（标准款）</w:t>
      </w:r>
    </w:p>
    <w:p>
      <w:pPr>
        <w:ind w:firstLine="1050" w:firstLineChars="500"/>
        <w:jc w:val="left"/>
        <w:rPr>
          <w:rFonts w:hint="eastAsia"/>
          <w:b w:val="0"/>
          <w:bCs w:val="0"/>
          <w:sz w:val="21"/>
          <w:szCs w:val="24"/>
          <w:lang w:val="en-US" w:eastAsia="zh-CN"/>
        </w:rPr>
      </w:pPr>
      <w:r>
        <w:rPr>
          <w:rFonts w:hint="eastAsia"/>
          <w:b w:val="0"/>
          <w:bCs w:val="0"/>
          <w:sz w:val="21"/>
          <w:szCs w:val="24"/>
          <w:lang w:val="en-US" w:eastAsia="zh-CN"/>
        </w:rPr>
        <w:t>-45℃...+85℃（低温款）</w:t>
      </w:r>
    </w:p>
    <w:p>
      <w:pPr>
        <w:ind w:firstLine="1050" w:firstLineChars="500"/>
        <w:jc w:val="left"/>
        <w:rPr>
          <w:rFonts w:hint="eastAsia"/>
          <w:b w:val="0"/>
          <w:bCs w:val="0"/>
          <w:sz w:val="21"/>
          <w:szCs w:val="24"/>
          <w:lang w:val="en-US" w:eastAsia="zh-CN"/>
        </w:rPr>
      </w:pPr>
    </w:p>
    <w:p>
      <w:pPr>
        <w:jc w:val="left"/>
        <w:rPr>
          <w:rFonts w:hint="eastAsia"/>
          <w:b/>
          <w:bCs/>
          <w:sz w:val="21"/>
          <w:szCs w:val="24"/>
          <w:lang w:val="en-US" w:eastAsia="zh-CN"/>
        </w:rPr>
      </w:pPr>
      <w:r>
        <w:rPr>
          <w:rFonts w:hint="eastAsia"/>
          <w:b/>
          <w:bCs/>
          <w:sz w:val="21"/>
          <w:szCs w:val="24"/>
          <w:lang w:val="en-US" w:eastAsia="zh-CN"/>
        </w:rPr>
        <w:t>允许最大加热温度：</w:t>
      </w:r>
    </w:p>
    <w:p>
      <w:pPr>
        <w:jc w:val="left"/>
        <w:rPr>
          <w:rFonts w:hint="eastAsia"/>
          <w:b w:val="0"/>
          <w:bCs w:val="0"/>
          <w:sz w:val="21"/>
          <w:szCs w:val="24"/>
          <w:lang w:val="en-US" w:eastAsia="zh-CN"/>
        </w:rPr>
      </w:pPr>
      <w:r>
        <w:rPr>
          <w:rFonts w:hint="eastAsia"/>
          <w:b w:val="0"/>
          <w:bCs w:val="0"/>
          <w:sz w:val="21"/>
          <w:szCs w:val="24"/>
          <w:lang w:val="en-US" w:eastAsia="zh-CN"/>
        </w:rPr>
        <w:t>升级版2.0可耐150℃高温</w:t>
      </w:r>
    </w:p>
    <w:p>
      <w:pPr>
        <w:jc w:val="left"/>
        <w:rPr>
          <w:rFonts w:hint="eastAsia"/>
          <w:b w:val="0"/>
          <w:bCs w:val="0"/>
          <w:sz w:val="21"/>
          <w:szCs w:val="24"/>
          <w:lang w:val="en-US" w:eastAsia="zh-CN"/>
        </w:rPr>
      </w:pPr>
      <w:r>
        <w:rPr>
          <w:rFonts w:hint="eastAsia"/>
          <w:b w:val="0"/>
          <w:bCs w:val="0"/>
          <w:sz w:val="21"/>
          <w:szCs w:val="24"/>
          <w:lang w:val="en-US" w:eastAsia="zh-CN"/>
        </w:rPr>
        <w:t>带特氟龙材质可耐220℃高温</w:t>
      </w:r>
    </w:p>
    <w:p>
      <w:pPr>
        <w:jc w:val="left"/>
        <w:rPr>
          <w:rFonts w:hint="eastAsia"/>
          <w:b w:val="0"/>
          <w:bCs w:val="0"/>
          <w:sz w:val="21"/>
          <w:szCs w:val="24"/>
          <w:lang w:val="en-US" w:eastAsia="zh-CN"/>
        </w:rPr>
      </w:pPr>
      <w:r>
        <w:rPr>
          <w:rFonts w:hint="eastAsia"/>
          <w:b w:val="0"/>
          <w:bCs w:val="0"/>
          <w:sz w:val="21"/>
          <w:szCs w:val="24"/>
          <w:lang w:val="en-US" w:eastAsia="zh-CN"/>
        </w:rPr>
        <w:t>带陶瓷材质可耐400℃高温</w:t>
      </w:r>
    </w:p>
    <w:p>
      <w:pPr>
        <w:jc w:val="left"/>
        <w:rPr>
          <w:rFonts w:hint="eastAsia"/>
          <w:b w:val="0"/>
          <w:bCs w:val="0"/>
          <w:sz w:val="21"/>
          <w:szCs w:val="24"/>
          <w:lang w:val="en-US" w:eastAsia="zh-CN"/>
        </w:rPr>
      </w:pPr>
      <w:r>
        <w:rPr>
          <w:rFonts w:hint="eastAsia"/>
          <w:b w:val="0"/>
          <w:bCs w:val="0"/>
          <w:sz w:val="21"/>
          <w:szCs w:val="24"/>
          <w:lang w:val="en-US" w:eastAsia="zh-CN"/>
        </w:rPr>
        <w:t>注：电气组件温度不超过+85℃时，探头允许最高温度可达到+200℃</w:t>
      </w:r>
    </w:p>
    <w:p>
      <w:pPr>
        <w:jc w:val="left"/>
        <w:rPr>
          <w:rFonts w:hint="eastAsia" w:asciiTheme="minorEastAsia" w:hAnsiTheme="minorEastAsia" w:eastAsiaTheme="minorEastAsia"/>
          <w:lang w:eastAsia="zh-CN"/>
        </w:rPr>
      </w:pPr>
      <w:r>
        <w:rPr>
          <w:rFonts w:hint="eastAsia"/>
          <w:b w:val="0"/>
          <w:bCs w:val="0"/>
          <w:sz w:val="21"/>
          <w:szCs w:val="24"/>
          <w:lang w:val="en-US" w:eastAsia="zh-CN"/>
        </w:rPr>
        <w:t>储罐罐壁孔洞尺寸：</w:t>
      </w:r>
      <w:r>
        <w:rPr>
          <w:lang w:eastAsia="zh-CN"/>
        </w:rPr>
        <w:t>Ø35</w:t>
      </w:r>
      <w:r>
        <w:rPr>
          <w:rFonts w:hint="eastAsia" w:asciiTheme="minorEastAsia" w:hAnsiTheme="minorEastAsia" w:eastAsiaTheme="minorEastAsia"/>
          <w:lang w:eastAsia="zh-CN"/>
        </w:rPr>
        <w:t>mm</w:t>
      </w:r>
    </w:p>
    <w:p>
      <w:pPr>
        <w:jc w:val="left"/>
        <w:rPr>
          <w:rFonts w:hint="eastAsia" w:asciiTheme="minorEastAsia" w:hAnsiTheme="minorEastAsia"/>
          <w:lang w:val="en-US" w:eastAsia="zh-CN"/>
        </w:rPr>
      </w:pPr>
      <w:r>
        <w:rPr>
          <w:rFonts w:hint="eastAsia" w:asciiTheme="minorEastAsia" w:hAnsiTheme="minorEastAsia"/>
          <w:lang w:eastAsia="zh-CN"/>
        </w:rPr>
        <w:t>微波平均功率：＜</w:t>
      </w:r>
      <w:r>
        <w:rPr>
          <w:rFonts w:hint="eastAsia" w:asciiTheme="minorEastAsia" w:hAnsiTheme="minorEastAsia"/>
          <w:lang w:val="en-US" w:eastAsia="zh-CN"/>
        </w:rPr>
        <w:t>3mW</w:t>
      </w:r>
    </w:p>
    <w:p>
      <w:pPr>
        <w:jc w:val="left"/>
        <w:rPr>
          <w:rFonts w:hint="eastAsia" w:asciiTheme="minorEastAsia" w:hAnsiTheme="minorEastAsia"/>
          <w:lang w:val="en-US" w:eastAsia="zh-CN"/>
        </w:rPr>
      </w:pPr>
      <w:r>
        <w:rPr>
          <w:rFonts w:hint="eastAsia" w:asciiTheme="minorEastAsia" w:hAnsiTheme="minorEastAsia"/>
          <w:lang w:val="en-US" w:eastAsia="zh-CN"/>
        </w:rPr>
        <w:t>报警方式：晶体管输出</w:t>
      </w:r>
    </w:p>
    <w:p>
      <w:pPr>
        <w:jc w:val="left"/>
        <w:rPr>
          <w:rFonts w:hint="eastAsia" w:asciiTheme="minorEastAsia" w:hAnsiTheme="minorEastAsia"/>
          <w:lang w:val="en-US" w:eastAsia="zh-CN"/>
        </w:rPr>
      </w:pPr>
      <w:r>
        <w:rPr>
          <w:rFonts w:hint="eastAsia" w:asciiTheme="minorEastAsia" w:hAnsiTheme="minorEastAsia"/>
          <w:lang w:val="en-US" w:eastAsia="zh-CN"/>
        </w:rPr>
        <w:t>供电电压：20VDC-27VDC</w:t>
      </w:r>
    </w:p>
    <w:p>
      <w:pPr>
        <w:jc w:val="left"/>
        <w:rPr>
          <w:rFonts w:hint="eastAsia" w:asciiTheme="minorEastAsia" w:hAnsiTheme="minorEastAsia"/>
          <w:lang w:val="en-US" w:eastAsia="zh-CN"/>
        </w:rPr>
      </w:pPr>
      <w:r>
        <w:rPr>
          <w:rFonts w:hint="eastAsia" w:asciiTheme="minorEastAsia" w:hAnsiTheme="minorEastAsia"/>
          <w:lang w:val="en-US" w:eastAsia="zh-CN"/>
        </w:rPr>
        <w:t>重量：1.2Kg（单个）</w:t>
      </w:r>
    </w:p>
    <w:p>
      <w:pPr>
        <w:jc w:val="left"/>
        <w:rPr>
          <w:rFonts w:hint="eastAsia" w:asciiTheme="minorEastAsia" w:hAnsiTheme="minorEastAsia"/>
          <w:lang w:val="en-US" w:eastAsia="zh-CN"/>
        </w:rPr>
      </w:pP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介可视（jiekes)专注固体测量仪表的销售</w:t>
      </w:r>
      <w:r>
        <w:rPr>
          <w:rFonts w:hint="eastAsia" w:ascii="宋体" w:hAnsi="宋体" w:eastAsia="宋体" w:cs="宋体"/>
          <w:sz w:val="21"/>
          <w:szCs w:val="21"/>
          <w:lang w:eastAsia="zh-CN"/>
        </w:rPr>
        <w:t>及售后</w:t>
      </w:r>
      <w:r>
        <w:rPr>
          <w:rFonts w:hint="eastAsia" w:ascii="宋体" w:hAnsi="宋体" w:eastAsia="宋体" w:cs="宋体"/>
          <w:sz w:val="21"/>
          <w:szCs w:val="21"/>
        </w:rPr>
        <w:t>服务，主要针对散状物料的水分、流量、料位测量以及粉尘浓度测量。主要经营的产品有：固体水分在线测量系统、实验室水分仪、微波固体流量测量系统、微波固体流量开关、微波物位开关、交流静电粉尘仪、环境粉尘仪、粉尘开关、溜槽式固体流量测量系统、钢带式重锤料位计、导波雷达物位计、各种阻旋式料位开关、振棒料位开关、膜片料位开关、气动夹管阀、智能软管接头、各种称重模块、称重料位计、高精度电子皮带称、螺旋给料称等。</w:t>
      </w: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介可视（jiekes)专注固体测量领域，12+年间服务不同领域客户，给客户带来智能的解决方案，提高产能的同时高效节能，</w:t>
      </w:r>
      <w:r>
        <w:rPr>
          <w:rFonts w:hint="eastAsia" w:ascii="宋体" w:hAnsi="宋体" w:eastAsia="宋体" w:cs="宋体"/>
          <w:sz w:val="21"/>
          <w:szCs w:val="21"/>
          <w:lang w:eastAsia="zh-CN"/>
        </w:rPr>
        <w:t>一站式服务</w:t>
      </w:r>
      <w:r>
        <w:rPr>
          <w:rFonts w:hint="eastAsia" w:ascii="宋体" w:hAnsi="宋体" w:eastAsia="宋体" w:cs="宋体"/>
          <w:sz w:val="21"/>
          <w:szCs w:val="21"/>
        </w:rPr>
        <w:t>。推陈出新，介可视以精湛的技术、卓越的品牌、优质的服务砥砺前行，不忘初心，打造固体测量领域匠心品牌！</w:t>
      </w:r>
    </w:p>
    <w:p>
      <w:pPr>
        <w:jc w:val="left"/>
        <w:rPr>
          <w:rFonts w:hint="default" w:asciiTheme="minorEastAsia" w:hAnsiTheme="minor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0" distR="0">
          <wp:extent cx="5269865" cy="662305"/>
          <wp:effectExtent l="0" t="0" r="6985"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69865" cy="662305"/>
                  </a:xfrm>
                  <a:prstGeom prst="rect">
                    <a:avLst/>
                  </a:prstGeom>
                </pic:spPr>
              </pic:pic>
            </a:graphicData>
          </a:graphic>
        </wp:inline>
      </w:drawing>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5283200" cy="741680"/>
          <wp:effectExtent l="0" t="0" r="1270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83200" cy="741680"/>
                  </a:xfrm>
                  <a:prstGeom prst="rect">
                    <a:avLst/>
                  </a:prstGeom>
                </pic:spPr>
              </pic:pic>
            </a:graphicData>
          </a:graphic>
        </wp:inline>
      </w:drawing>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12B22"/>
    <w:rsid w:val="289E55BD"/>
    <w:rsid w:val="2D3E5617"/>
    <w:rsid w:val="3841174D"/>
    <w:rsid w:val="3D9F6CE1"/>
    <w:rsid w:val="45AE0B0C"/>
    <w:rsid w:val="59B96C80"/>
    <w:rsid w:val="63E01236"/>
    <w:rsid w:val="65143C2C"/>
    <w:rsid w:val="6AC96626"/>
    <w:rsid w:val="70CA0B59"/>
    <w:rsid w:val="71156E14"/>
    <w:rsid w:val="77611290"/>
    <w:rsid w:val="79893742"/>
    <w:rsid w:val="7DF5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1320</Words>
  <Characters>1405</Characters>
  <Lines>0</Lines>
  <Paragraphs>0</Paragraphs>
  <TotalTime>18</TotalTime>
  <ScaleCrop>false</ScaleCrop>
  <LinksUpToDate>false</LinksUpToDate>
  <CharactersWithSpaces>1405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2021-03-05T07:30:00Z</dcterms:created>
  <dc:creator>Administrator</dc:creator>
  <cp:lastModifiedBy>孟潇寒</cp:lastModifiedBy>
  <dcterms:modified xsi:type="dcterms:W3CDTF">2021-03-10T03:25:40Z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