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0"/>
          <w:tab w:val="right" w:pos="9070"/>
        </w:tabs>
        <w:jc w:val="left"/>
        <w:outlineLvl w:val="0"/>
        <w:rPr>
          <w:rFonts w:hint="eastAsia" w:ascii="Arial" w:hAnsi="Arial" w:eastAsia="黑体"/>
          <w:sz w:val="36"/>
          <w:szCs w:val="36"/>
          <w:lang w:val="en-US" w:eastAsia="zh-CN"/>
        </w:rPr>
      </w:pPr>
      <w:bookmarkStart w:id="0" w:name="_Toc28153"/>
      <w:r>
        <w:rPr>
          <w:rFonts w:hint="eastAsia" w:ascii="Arial" w:hAnsi="Arial" w:eastAsia="黑体"/>
          <w:sz w:val="36"/>
          <w:szCs w:val="36"/>
          <w:lang w:val="en-US" w:eastAsia="zh-CN"/>
        </w:rPr>
        <w:t>HT-1000N型</w:t>
      </w:r>
      <w:bookmarkEnd w:id="0"/>
      <w:r>
        <w:rPr>
          <w:rFonts w:hint="eastAsia" w:ascii="Arial" w:hAnsi="Arial" w:eastAsia="黑体"/>
          <w:sz w:val="36"/>
          <w:szCs w:val="36"/>
          <w:lang w:val="en-US" w:eastAsia="zh-CN"/>
        </w:rPr>
        <w:t>氨氮（水杨酸比色法）自动分析仪</w:t>
      </w:r>
    </w:p>
    <w:p>
      <w:pPr>
        <w:tabs>
          <w:tab w:val="left" w:pos="1200"/>
          <w:tab w:val="right" w:pos="9070"/>
        </w:tabs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tabs>
          <w:tab w:val="left" w:pos="1200"/>
          <w:tab w:val="right" w:pos="9070"/>
        </w:tabs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tabs>
          <w:tab w:val="left" w:pos="1200"/>
          <w:tab w:val="right" w:pos="9070"/>
        </w:tabs>
        <w:jc w:val="left"/>
        <w:outlineLvl w:val="0"/>
        <w:rPr>
          <w:rFonts w:hint="eastAsia" w:ascii="Arial" w:hAnsi="Arial" w:eastAsia="黑体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325" cy="4300855"/>
            <wp:effectExtent l="0" t="0" r="9525" b="4445"/>
            <wp:docPr id="4" name="图片 4" descr="33026e79153b4624fb58389791f7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026e79153b4624fb58389791f7d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00"/>
          <w:tab w:val="right" w:pos="9070"/>
        </w:tabs>
        <w:jc w:val="left"/>
        <w:outlineLvl w:val="0"/>
        <w:rPr>
          <w:rFonts w:hint="eastAsia" w:ascii="Arial" w:hAnsi="Arial" w:eastAsia="黑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29e550dbd7a6e862d910c19237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9e550dbd7a6e862d910c1923794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0" w:firstLineChars="5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HT-1000N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水质分析仪是用于地表水及排放污水的氨氮指标的在线监测仪器。仪器以国标或行业标准为依据，具有操作简单，自动化程度高、便于维护、耗材成本低等特点，仪器标配有RS485/RS232接口，支持MODBUS协议，可以通过远程通讯对其运行状况和数据进行全面的掌握，亦能对其进行远程控制，实现远程分析、远程标定、远程清洗等先进功能。另外仪器自带有稀释功能，针对高浓度的样品亦可以满足其应用的要求。经长时间的反馈验证，其分析的精确度等指标均优于的国家相关标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本产品适用于：地表水、生活污水、工业废水等。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2、方法依据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水质 氨氮的测定 水杨酸分光光度法HJ 536-2009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氨氮 水质自动监测仪技术要求HJ/T 101-2003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原理简述：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在碱性介质中（pH＝11.7）和亚硝基五氰络铁（Ⅲ）酸钠存在下，水中的氨、铵离子与水杨酸盐和次氯酸离子反应生成蓝色化合物，在697nm波长处测量。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3、典型应用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排污企业监测站房：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水质五参数（温度、pH、溶氧、电导、浊度）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总磷在线分析仪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氨氮在线分析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COD在线分析仪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总氮在线分析仪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数采仪（上传至环保局数据中心）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定制化采配水系统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监测站房及配套设施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二、产品参数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457"/>
        <w:gridCol w:w="6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分析量程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0-4mg/L； 0-50mg/L ； 0-400mg/L（可定制）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检出限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0.02mg/L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分辨率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＜0.01mg/L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误 差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＜10% F.S.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重复性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相对标准偏差不超过2%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量程漂移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±1% F.S.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消解温度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40摄氏度 可设定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分析方式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整 点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按小时运行，每天最多24组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间 隔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按设置间隔运行 0—9999分钟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手动分析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远 程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以MODBUS方式进行远程控制；干接点控制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标定方式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间隔次数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按分析累加次数进行间隔标定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间隔天数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按运行天数进行间隔标定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手动标定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远 程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以MODBUS方式进行远程控制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清洗方式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自 动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分析清洗；故障清洗；异常断电清洗；紧急停机清洗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手动清洗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报 警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缺液报警；自检报警；故障报警；超标报警（一路继电器）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数 据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一路4—20mA模拟量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通 讯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一个RS232或RS485接口  标准MODBUS协议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存 储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约2万组（断电自动保存）；支持U盘导出EXCEL；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打 印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微型工业热敏打印机（选配）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试剂用量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约650次/套（3个月）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维保周期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约30天，需45分钟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显示单元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7寸液晶，800*480分辨率、TFT真彩色触摸屏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使用环境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5—35℃，湿度＜90%（无凝露）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水样温度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5—35℃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干 扰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硫化物、重金属、有机物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采水单元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用于水样的循环及留存；自动反吹洗精密过滤系统（选配）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尺 寸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1500×500×400mm （含试剂柜）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重 量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45KG（含试剂柜）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电 源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AC 220V ± 10%, 50Hz ± 1%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功 率</w:t>
            </w:r>
          </w:p>
        </w:tc>
        <w:tc>
          <w:tcPr>
            <w:tcW w:w="8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150W</w:t>
            </w:r>
          </w:p>
        </w:tc>
      </w:tr>
    </w:tbl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产品特点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1、主要组件采用进口品牌，确保其准确度、稳定性和可靠性；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2、红外计量单元，定量准确；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3、采用正/负压载流技术，蠕动泵管不经液体，稳定耐用。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4、三点自动标定，线性相关度高；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5、专用LED光源，高信噪比；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6、RS232/RS485接口，标准MODBUS协议，可远程读取仪器的运行状态和相关数据；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四、服务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仪器整机的保修期为12个月，保修期内的仪器出现质量问题，免费给予更换维修和技术支持。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厂家对所售产品提供终身维修服务；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1、耗材源于品牌标准件，价格合理透明；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2、配方公开、提供试剂及标液配制服务，试剂采用AR分析纯，国药品质；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3、专属的应用方案，现场优化设计；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4、专业的售后技术支持；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青岛海特尔公司提供本仪器全面的技术支持和售后服务！本公司专业生产各种水质检测仪分析仪，水质采样器,CEMS系统烟尘烟气监测仪，粉尘、大气、气体采样器分析仪！广泛用于环保局、环境监测站、第三方检测公司等。欢迎来电咨询！ </w:t>
      </w:r>
    </w:p>
    <w:p>
      <w:pPr>
        <w:spacing w:after="240"/>
        <w:rPr>
          <w:rFonts w:hint="eastAsia" w:ascii="宋体" w:hAnsi="宋体" w:cs="宋体"/>
          <w:kern w:val="0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18"/>
        <w:lang w:val="en-US" w:eastAsia="zh-CN"/>
      </w:rPr>
      <w:t xml:space="preserve">             </w:t>
    </w:r>
    <w:r>
      <w:rPr>
        <w:sz w:val="18"/>
      </w:rPr>
      <w:drawing>
        <wp:inline distT="0" distB="0" distL="114300" distR="114300">
          <wp:extent cx="3743325" cy="501650"/>
          <wp:effectExtent l="0" t="0" r="9525" b="12700"/>
          <wp:docPr id="5" name="图片 5" descr="QQ图片201910251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QQ图片201910251504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332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 w:cs="黑体"/>
        <w:b/>
        <w:bCs/>
        <w:sz w:val="20"/>
        <w:szCs w:val="20"/>
      </w:rPr>
      <w:drawing>
        <wp:inline distT="0" distB="0" distL="114300" distR="114300">
          <wp:extent cx="6438900" cy="998855"/>
          <wp:effectExtent l="0" t="0" r="0" b="10795"/>
          <wp:docPr id="3" name="图片 3" descr="QQ图片2019102515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910251501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0A725"/>
    <w:multiLevelType w:val="singleLevel"/>
    <w:tmpl w:val="DA40A7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93657B"/>
    <w:multiLevelType w:val="multilevel"/>
    <w:tmpl w:val="159365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43494"/>
    <w:rsid w:val="001F102B"/>
    <w:rsid w:val="2556711A"/>
    <w:rsid w:val="62692ACA"/>
    <w:rsid w:val="7B043494"/>
    <w:rsid w:val="7D8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2019-11-29T02:17:00Z</dcterms:created>
  <dc:creator>Administrator</dc:creator>
  <cp:lastModifiedBy>HAITER</cp:lastModifiedBy>
  <dcterms:modified xsi:type="dcterms:W3CDTF">2020-04-20T07:23:09Z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